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r>
        <w:rPr>
          <w:b/>
          <w:color w:val="7A2E1D"/>
          <w:sz w:val="24"/>
        </w:rPr>
        <w:t>HOW TO SEND THIS LETTER</w:t>
      </w:r>
    </w:p>
    <w:p>
      <w:r>
        <w:rPr>
          <w:i/>
          <w:color w:val="7A2E1D"/>
          <w:sz w:val="20"/>
        </w:rPr>
        <w:t>Please delete this section before you submit.</w:t>
      </w:r>
    </w:p>
    <w:p>
      <w:r>
        <w:rPr>
          <w:color w:val="7A2E1D"/>
          <w:sz w:val="20"/>
        </w:rPr>
        <w:t>1.  Fill in every [ bracketed ] field below — your name, your story, and your address.</w:t>
      </w:r>
    </w:p>
    <w:p>
      <w:r>
        <w:rPr>
          <w:color w:val="7A2E1D"/>
          <w:sz w:val="20"/>
        </w:rPr>
        <w:t>2.  Open the California Legislature’s Advocates Portal at https://calegislation.lc.ca.gov/Advocates/ and create a free account.</w:t>
      </w:r>
    </w:p>
    <w:p>
      <w:r>
        <w:rPr>
          <w:color w:val="7A2E1D"/>
          <w:sz w:val="20"/>
        </w:rPr>
        <w:t>3.  Search “SB 1090,” set your position to Support, and choose the Assembly Housing &amp; Community Development Committee (and Local Government, if offered).</w:t>
      </w:r>
    </w:p>
    <w:p>
      <w:r>
        <w:rPr>
          <w:color w:val="7A2E1D"/>
          <w:sz w:val="20"/>
        </w:rPr>
        <w:t>4.  Upload or paste your finished letter and submit it by 5:00 p.m. on Wednesday, June 24.</w:t>
      </w:r>
    </w:p>
    <w:p>
      <w:r>
        <w:rPr>
          <w:color w:val="7A2E1D"/>
          <w:sz w:val="20"/>
        </w:rPr>
        <w:t>5.  Also email a copy of your finished letter to hello@altadenarecoverywatch.com — in addition to the portal — so we can track our community’s impact and keep you posted on the fight.</w:t>
      </w:r>
    </w:p>
    <w:p>
      <w:r>
        <w:rPr>
          <w:color w:val="7A2E1D"/>
        </w:rPr>
        <w:t>——————————————————————————————</w:t>
      </w:r>
    </w:p>
    <w:p>
      <w:pPr>
        <w:pStyle w:val="Normal"/>
        <w:spacing w:lineRule="auto" w:line="264" w:before="0" w:after="120"/>
        <w:rPr/>
      </w:pPr>
      <w:r>
        <w:rPr/>
        <w:t>June 22, 2026</w:t>
      </w:r>
    </w:p>
    <w:p>
      <w:pPr>
        <w:pStyle w:val="Normal"/>
        <w:spacing w:lineRule="auto" w:line="264" w:before="0" w:after="120"/>
        <w:rPr/>
      </w:pPr>
      <w:r>
        <w:rPr>
          <w:b/>
          <w:bCs/>
        </w:rPr>
        <w:t>Assembly Committee on Housing and Community Development</w:t>
      </w:r>
    </w:p>
    <w:p>
      <w:pPr>
        <w:pStyle w:val="Normal"/>
        <w:spacing w:lineRule="auto" w:line="264" w:before="0" w:after="120"/>
        <w:rPr/>
      </w:pPr>
      <w:r>
        <w:rPr>
          <w:b/>
          <w:bCs/>
        </w:rPr>
        <w:t>Re: SB 1090 (Sen. Pérez) — SUPPORT.  Hearing: July 1, 2026.</w:t>
      </w:r>
    </w:p>
    <w:p>
      <w:pPr>
        <w:pStyle w:val="Normal"/>
        <w:spacing w:lineRule="auto" w:line="264" w:before="0" w:after="120"/>
        <w:rPr/>
      </w:pPr>
      <w:r>
        <w:rPr/>
        <w:t>Dear Chair Haney and Members of the Committee:</w:t>
      </w:r>
    </w:p>
    <w:p>
      <w:pPr>
        <w:pStyle w:val="Normal"/>
        <w:spacing w:lineRule="auto" w:line="264" w:before="0" w:after="120"/>
        <w:rPr/>
      </w:pPr>
      <w:r>
        <w:rPr/>
        <w:t xml:space="preserve">My name is </w:t>
      </w:r>
      <w:r>
        <w:rPr>
          <w:b/>
          <w:bCs/>
        </w:rPr>
        <w:t>[ Your Name here! ]</w:t>
      </w:r>
    </w:p>
    <w:p>
      <w:pPr>
        <w:pStyle w:val="Normal"/>
        <w:spacing w:lineRule="auto" w:line="264" w:before="0" w:after="120"/>
        <w:rPr/>
      </w:pPr>
      <w:r>
        <w:rPr>
          <w:b/>
          <w:bCs/>
        </w:rPr>
        <w:t>[ Personalize here. This is the most important part of your letter. In a sentence or two, in your own words describe who you are, your connection to Altadena, what you and your family lost or still face, and why SB 1090 matters to you. ]</w:t>
      </w:r>
    </w:p>
    <w:p>
      <w:pPr>
        <w:pStyle w:val="Normal"/>
        <w:spacing w:lineRule="auto" w:line="264" w:before="0" w:after="120"/>
        <w:rPr/>
      </w:pPr>
      <w:r>
        <w:rPr/>
        <w:t>Altadena is rebuilding. A year and a half after the Eaton Fire, families are grappling with insurance, architectural plans, permits, contractors, and financing — and despite it all, by mid-2026 the County reports roughly 3,700 rebuild applications and nearly 3,000 permits issued in our area. We are coming home through ordinary permits. What we are asking is simple: Please do not let a small group of out-of-town investors permanently redraw our neighborhoods, by right and with no hearing, before the residents who lived here can return.</w:t>
      </w:r>
    </w:p>
    <w:p>
      <w:pPr>
        <w:pStyle w:val="Normal"/>
        <w:spacing w:lineRule="auto" w:line="264" w:before="0" w:after="120"/>
        <w:rPr/>
      </w:pPr>
      <w:r>
        <w:rPr/>
        <w:t>What is happening now is simply not a just and equitable way to treat a community fighting to recover in a burn scar.</w:t>
      </w:r>
    </w:p>
    <w:p>
      <w:pPr>
        <w:pStyle w:val="Normal"/>
        <w:spacing w:lineRule="auto" w:line="264" w:before="0" w:after="120"/>
        <w:rPr/>
      </w:pPr>
      <w:r>
        <w:rPr/>
        <w:t>I write in strong support of SB 1090 and respectfully urge an AYE vote — and ask that it be made effective as soon as possible, so protection is not delayed.</w:t>
      </w:r>
    </w:p>
    <w:p>
      <w:pPr>
        <w:pStyle w:val="Normal"/>
        <w:spacing w:lineRule="auto" w:line="264" w:before="0" w:after="120"/>
        <w:rPr/>
      </w:pPr>
      <w:r>
        <w:rPr/>
        <w:t>SB 1090 places a narrow, time-limited pause on the by-right, no-hearing pathways (SB 9 and SB 1123) that out-of-town developers are using to carve burned lots into as many as ten units each in the Altadena disaster area. SB 1090 does not restrict a homeowner's ability to rebuild or add ADUs — and it adds a needed guardrail by barring large institutional investors (those owning 75 or more homes) from making unsolicited offers to buy up disaster-struck land. It is also sound policy:</w:t>
      </w:r>
    </w:p>
    <w:p>
      <w:pPr>
        <w:pStyle w:val="Normal"/>
        <w:numPr>
          <w:ilvl w:val="0"/>
          <w:numId w:val="1"/>
        </w:numPr>
        <w:pBdr/>
        <w:spacing w:lineRule="auto" w:line="264" w:before="0" w:after="0"/>
        <w:rPr/>
      </w:pPr>
      <w:r>
        <w:rPr>
          <w:b/>
        </w:rPr>
        <w:t>1. Altadena deserves the same protection the Palisades received.</w:t>
      </w:r>
      <w:r>
        <w:rPr/>
        <w:t xml:space="preserve"> After the same January 2025 firestorms in Altadena and the Pacific Palisades, fire-hazard zones in the burn areas received SB 9 relief by executive order — but the hazard map left most of Altadena’s burned neighborhoods out. And because SB 1123 cannot be used in high fire-hazard zones, the Palisades is shielded from it — while Altadena’s recovery area, which the map did not so designate, is left exposed. Altadena was left out of the protection and left open to the harm.</w:t>
      </w:r>
    </w:p>
    <w:p>
      <w:pPr>
        <w:pStyle w:val="Normal"/>
        <w:numPr>
          <w:ilvl w:val="0"/>
          <w:numId w:val="1"/>
        </w:numPr>
        <w:pBdr/>
        <w:spacing w:lineRule="auto" w:line="264" w:before="0" w:after="0"/>
        <w:rPr/>
      </w:pPr>
      <w:r>
        <w:rPr>
          <w:b/>
        </w:rPr>
        <w:t>2. It costs the recovery nothing — but the threat is accelerating.</w:t>
      </w:r>
      <w:r>
        <w:rPr/>
        <w:t xml:space="preserve"> Altadenans are rebuilding by the thousands through ordinary permits. Every SB 1123 subdivision applicant we have identified is an outside corporate investor — not a returning resident — and the filings are clustering fast: the most active developer filed seven-plus maps in a matter of months. A recorded subdivision can never be undone, and once one developer goes down the by-right pathway, market forces pull in more. Pausing it now does not slow recovery — it protects it.</w:t>
      </w:r>
    </w:p>
    <w:p>
      <w:pPr>
        <w:pStyle w:val="Normal"/>
        <w:numPr>
          <w:ilvl w:val="0"/>
          <w:numId w:val="1"/>
        </w:numPr>
        <w:pBdr/>
        <w:spacing w:lineRule="auto" w:line="264" w:before="0" w:after="0"/>
        <w:rPr/>
      </w:pPr>
      <w:r>
        <w:rPr>
          <w:b/>
        </w:rPr>
        <w:t>3. It should not be easier to build than to rebuild.</w:t>
      </w:r>
      <w:r>
        <w:rPr/>
        <w:t xml:space="preserve"> Under the Governor’s own disaster order, a survivor may rebuild only about 10% larger than the home they lost to utilize the fast track “like-for-like plus 10%” permit — while an out-of-town developer on the very same burned lot may put up as many as ten units, by right, with no hearing, and can move much faster than a resident still fighting to get funding from their insurer and the SCE claim. The victim is capped at plus-ten-percent; the opportunist is handed times-ten.</w:t>
      </w:r>
    </w:p>
    <w:p>
      <w:pPr>
        <w:pStyle w:val="Normal"/>
        <w:numPr>
          <w:ilvl w:val="0"/>
          <w:numId w:val="1"/>
        </w:numPr>
        <w:pBdr/>
        <w:spacing w:lineRule="auto" w:line="264" w:before="0" w:after="0"/>
        <w:rPr/>
      </w:pPr>
      <w:r>
        <w:rPr>
          <w:b/>
        </w:rPr>
        <w:t>4. SB 1090 protects the SHRA’s original purpose — true urban infill.</w:t>
      </w:r>
      <w:r>
        <w:rPr>
          <w:b/>
        </w:rPr>
        <w:t xml:space="preserve"> The Starter Home Revitalization Act was written to promote scattered urban infill on a few rare vacant lots, not to be heavily concentrated in fire-cleared disaster blocks. Turned loose on a burn scar, it stops modeling responsible infill and becomes the law that lets investors take advantage of a disaster. SB 1090 simply affirms that original legislative intent — keeping the SHRA focused on true urban infill so that it does not become, informally, the “Altadena Fire Sale Act.” It does not repeal the SHRA; it asks only that one devastated disaster zone not be made to absorb the region’s density goals during recovery, particularly while neighboring jurisdictions are not doing their fair share.</w:t>
      </w:r>
      <w:r>
        <w:rPr/>
      </w:r>
      <w:r>
        <w:rPr/>
      </w:r>
      <w:r/>
      <w:r>
        <w:rPr/>
      </w:r>
      <w:r>
        <w:rPr/>
      </w:r>
      <w:r>
        <w:rPr/>
      </w:r>
      <w:r/>
      <w:r>
        <w:rPr/>
      </w:r>
    </w:p>
    <w:p>
      <w:pPr>
        <w:pStyle w:val="Normal"/>
        <w:numPr>
          <w:ilvl w:val="0"/>
          <w:numId w:val="1"/>
        </w:numPr>
        <w:pBdr/>
        <w:spacing w:lineRule="auto" w:line="264" w:before="0" w:after="0"/>
        <w:rPr/>
      </w:pPr>
      <w:r>
        <w:rPr>
          <w:b/>
        </w:rPr>
        <w:t>5. Settle the uncertainty while the rules are contested.</w:t>
      </w:r>
      <w:r>
        <w:rPr/>
        <w:t xml:space="preserve"> How SB 1123 applies to a fire-cleared disaster zone is genuinely contested, leaving these approvals open to legal challenge. SB 1090 gives the community certainty now, instead of leaving recovery hostage to whichever interpretation ultimately prevails.</w:t>
      </w:r>
    </w:p>
    <w:p>
      <w:pPr>
        <w:pStyle w:val="Normal"/>
        <w:numPr>
          <w:ilvl w:val="0"/>
          <w:numId w:val="1"/>
        </w:numPr>
        <w:pBdr/>
        <w:spacing w:lineRule="auto" w:line="264" w:before="0" w:after="120"/>
        <w:rPr/>
      </w:pPr>
      <w:r>
        <w:rPr>
          <w:b/>
        </w:rPr>
        <w:t>6. Let Altadena rebuild under its own plan.</w:t>
      </w:r>
      <w:r>
        <w:rPr/>
        <w:t xml:space="preserve"> The community had just completed its own blueprint — the West San Gabriel Valley Area Plan (WSGVAP), approved by the County only the month before the fire (December 2024). The WSGVAP increased the number of lots zoned for multifamily in our commercial corridors and the allowable density. Altadena still welcomes higher density multi-family housing and many burned out commercial lots are now available for this purpose. State and County ADU law still let homeowners add units without subdividing. SB 1123 was always designed for infill, not as the primary planning tool for a disaster zone — the state should give the community time to rebuild on its own principles before turning that infill pathway loose on burned blocks.</w:t>
      </w:r>
    </w:p>
    <w:p>
      <w:pPr>
        <w:pStyle w:val="Normal"/>
        <w:numPr>
          <w:ilvl w:val="0"/>
          <w:numId w:val="1"/>
        </w:numPr>
        <w:pBdr/>
        <w:spacing w:lineRule="auto" w:line="264" w:before="0" w:after="120"/>
        <w:rPr/>
      </w:pPr>
      <w:r>
        <w:rPr>
          <w:b/>
        </w:rPr>
        <w:t>7. Life safety must come first.</w:t>
      </w:r>
      <w:r>
        <w:rPr/>
        <w:t xml:space="preserve"> Our foothill neighborhoods sit on narrow, often single-access streets that just failed catastrophically in a deadly, fast-moving fire. Multiplying the households and cars on those same streets is a direct evacuation and life-safety hazard — and a ministerial approval carries no traffic, evacuation, or cumulative fire-safety review.</w:t>
      </w:r>
    </w:p>
    <w:p>
      <w:pPr>
        <w:pStyle w:val="Normal"/>
        <w:numPr>
          <w:ilvl w:val="0"/>
          <w:numId w:val="1"/>
        </w:numPr>
        <w:pBdr/>
        <w:spacing w:lineRule="auto" w:line="264" w:before="0" w:after="120"/>
        <w:rPr/>
      </w:pPr>
      <w:r>
        <w:rPr>
          <w:b/>
        </w:rPr>
        <w:t>8. The infrastructure isn’t there.</w:t>
      </w:r>
      <w:r>
        <w:rPr/>
        <w:t xml:space="preserve"> Altadena’s burned blocks were never built for this density: many are on septic rather than public sewer systems, lack sidewalks and adequate parking, and sit on undersized roads and an infrastructure grid still being rebuilt. SB 1123 assumes urban infrastructure that simply isn’t present on these foothill lots.</w:t>
      </w:r>
    </w:p>
    <w:p>
      <w:pPr>
        <w:pStyle w:val="Normal"/>
        <w:numPr>
          <w:ilvl w:val="0"/>
          <w:numId w:val="1"/>
        </w:numPr>
        <w:pBdr/>
        <w:spacing w:lineRule="auto" w:line="264" w:before="0" w:after="120"/>
        <w:rPr/>
      </w:pPr>
      <w:r>
        <w:rPr>
          <w:b/>
        </w:rPr>
        <w:t>9. It protects the residents most at risk.</w:t>
      </w:r>
      <w:r>
        <w:rPr/>
        <w:t xml:space="preserve"> The Eaton Fire fell hardest on historically marginalized blocks and on longtime owners — many elderly, equity-rich but cash-poor and underinsured — and on the renters who made up much of the community’s naturally affordable housing, two-thirds of whose rent-stabilized homes burned. There are no affordability provisions in SB 9 and SB 1123. There is no evidence that any of the housing built by the out of town speculators will be affordable or prioritized for returning residents. </w:t>
      </w:r>
    </w:p>
    <w:p>
      <w:pPr>
        <w:pStyle w:val="Normal"/>
        <w:spacing w:lineRule="auto" w:line="264" w:before="0" w:after="120"/>
        <w:rPr>
          <w:b/>
          <w:bCs/>
        </w:rPr>
      </w:pPr>
      <w:r>
        <w:rPr/>
        <w:t>We urge you to vote AYE on SB 1090 and make it effective as soon as possible. Thank you for protecting fire survivors and the integrity of the SHRA.</w:t>
      </w:r>
    </w:p>
    <w:p>
      <w:pPr>
        <w:pStyle w:val="Normal"/>
        <w:spacing w:lineRule="auto" w:line="264" w:before="0" w:after="40"/>
        <w:rPr/>
      </w:pPr>
      <w:r>
        <w:rPr/>
        <w:t>Respectfully,</w:t>
      </w:r>
    </w:p>
    <w:p>
      <w:pPr>
        <w:pStyle w:val="Normal"/>
        <w:spacing w:lineRule="auto" w:line="264" w:before="0" w:after="40"/>
        <w:rPr/>
      </w:pPr>
      <w:r>
        <w:rPr>
          <w:b/>
          <w:bCs/>
        </w:rPr>
        <w:t>[ Your full name ]</w:t>
      </w:r>
    </w:p>
    <w:p>
      <w:pPr>
        <w:pStyle w:val="Normal"/>
        <w:spacing w:lineRule="auto" w:line="264" w:before="0" w:after="40"/>
        <w:rPr/>
      </w:pPr>
      <w:r>
        <w:rPr/>
        <w:t>[ Your street address, Altadena (or your city), ZIP ]</w:t>
      </w:r>
    </w:p>
    <w:p>
      <w:pPr>
        <w:pStyle w:val="Normal"/>
        <w:spacing w:lineRule="auto" w:line="264" w:before="0" w:after="120"/>
        <w:rPr/>
      </w:pPr>
      <w:r>
        <w:rPr/>
        <w:t>cc: Sen. Sasha Renée Pérez (author); Asm. John Harabedian (co-author), LA County Supervisor Kathryn Barger</w:t>
      </w:r>
    </w:p>
    <w:sectPr>
      <w:type w:val="nextPage"/>
      <w:pgSz w:w="12240" w:h="15840"/>
      <w:pgMar w:left="1440" w:right="1440" w:gutter="0" w:header="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swiss"/>
    <w:pitch w:val="variable"/>
  </w:font>
  <w:font w:name="Liberation Sans">
    <w:altName w:val="Arial"/>
    <w:charset w:val="01" w:characterSet="utf-8"/>
    <w:family w:val="swiss"/>
    <w:pitch w:val="variable"/>
  </w:font>
  <w:font w:name="Noto Sans Symbols">
    <w:charset w:val="01"/>
    <w:family w:val="swiss"/>
    <w:pitch w:val="default"/>
    <w:embedRegular r:id="rId1" w:fontKey="{01014A78-CABC-4EF0-12AC-5CD89AEFDE01}"/>
    <w:embedBold r:id="rId2" w:fontKey="{02014A78-CABC-4EF0-12AC-5CD89AEFDE02}"/>
  </w:font>
  <w:font w:name="OpenSymbol">
    <w:altName w:val="Arial Unicode M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360" w:hanging="360"/>
      </w:pPr>
      <w:rPr>
        <w:rFonts w:ascii="Noto Sans Symbols" w:hAnsi="Noto Sans Symbols" w:cs="Noto Sans Symbols" w:hint="default"/>
      </w:rPr>
    </w:lvl>
    <w:lvl w:ilvl="1">
      <w:start w:val="1"/>
      <w:numFmt w:val="bullet"/>
      <w:lvlText w:val=""/>
      <w:lvlJc w:val="start"/>
      <w:pPr>
        <w:tabs>
          <w:tab w:val="num" w:pos="0"/>
        </w:tabs>
        <w:ind w:start="0" w:hanging="0"/>
      </w:pPr>
      <w:rPr>
        <w:rFonts w:ascii="OpenSymbol" w:hAnsi="OpenSymbol" w:cs="OpenSymbol" w:hint="default"/>
      </w:rPr>
    </w:lvl>
    <w:lvl w:ilvl="2">
      <w:start w:val="1"/>
      <w:numFmt w:val="bullet"/>
      <w:lvlText w:val=""/>
      <w:lvlJc w:val="start"/>
      <w:pPr>
        <w:tabs>
          <w:tab w:val="num" w:pos="0"/>
        </w:tabs>
        <w:ind w:start="0" w:hanging="0"/>
      </w:pPr>
      <w:rPr>
        <w:rFonts w:ascii="OpenSymbol" w:hAnsi="OpenSymbol" w:cs="OpenSymbol" w:hint="default"/>
      </w:rPr>
    </w:lvl>
    <w:lvl w:ilvl="3">
      <w:start w:val="1"/>
      <w:numFmt w:val="bullet"/>
      <w:lvlText w:val=""/>
      <w:lvlJc w:val="start"/>
      <w:pPr>
        <w:tabs>
          <w:tab w:val="num" w:pos="0"/>
        </w:tabs>
        <w:ind w:start="0" w:hanging="0"/>
      </w:pPr>
      <w:rPr>
        <w:rFonts w:ascii="OpenSymbol" w:hAnsi="OpenSymbol" w:cs="OpenSymbol" w:hint="default"/>
      </w:rPr>
    </w:lvl>
    <w:lvl w:ilvl="4">
      <w:start w:val="1"/>
      <w:numFmt w:val="bullet"/>
      <w:lvlText w:val=""/>
      <w:lvlJc w:val="start"/>
      <w:pPr>
        <w:tabs>
          <w:tab w:val="num" w:pos="0"/>
        </w:tabs>
        <w:ind w:start="0" w:hanging="0"/>
      </w:pPr>
      <w:rPr>
        <w:rFonts w:ascii="OpenSymbol" w:hAnsi="OpenSymbol" w:cs="OpenSymbol" w:hint="default"/>
      </w:rPr>
    </w:lvl>
    <w:lvl w:ilvl="5">
      <w:start w:val="1"/>
      <w:numFmt w:val="bullet"/>
      <w:lvlText w:val=""/>
      <w:lvlJc w:val="start"/>
      <w:pPr>
        <w:tabs>
          <w:tab w:val="num" w:pos="0"/>
        </w:tabs>
        <w:ind w:start="0" w:hanging="0"/>
      </w:pPr>
      <w:rPr>
        <w:rFonts w:ascii="OpenSymbol" w:hAnsi="OpenSymbol" w:cs="OpenSymbol" w:hint="default"/>
      </w:rPr>
    </w:lvl>
    <w:lvl w:ilvl="6">
      <w:start w:val="1"/>
      <w:numFmt w:val="bullet"/>
      <w:lvlText w:val=""/>
      <w:lvlJc w:val="start"/>
      <w:pPr>
        <w:tabs>
          <w:tab w:val="num" w:pos="0"/>
        </w:tabs>
        <w:ind w:start="0" w:hanging="0"/>
      </w:pPr>
      <w:rPr>
        <w:rFonts w:ascii="OpenSymbol" w:hAnsi="OpenSymbol" w:cs="OpenSymbol" w:hint="default"/>
      </w:rPr>
    </w:lvl>
    <w:lvl w:ilvl="7">
      <w:start w:val="1"/>
      <w:numFmt w:val="bullet"/>
      <w:lvlText w:val=""/>
      <w:lvlJc w:val="start"/>
      <w:pPr>
        <w:tabs>
          <w:tab w:val="num" w:pos="0"/>
        </w:tabs>
        <w:ind w:start="0" w:hanging="0"/>
      </w:pPr>
      <w:rPr>
        <w:rFonts w:ascii="OpenSymbol" w:hAnsi="OpenSymbol" w:cs="OpenSymbol" w:hint="default"/>
      </w:rPr>
    </w:lvl>
    <w:lvl w:ilvl="8">
      <w:start w:val="1"/>
      <w:numFmt w:val="bullet"/>
      <w:lvlText w:val=""/>
      <w:lvlJc w:val="start"/>
      <w:pPr>
        <w:tabs>
          <w:tab w:val="num" w:pos="0"/>
        </w:tabs>
        <w:ind w:start="0" w:hanging="0"/>
      </w:pPr>
      <w:rPr>
        <w:rFonts w:ascii="OpenSymbol" w:hAnsi="OpenSymbol" w:cs="Open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60"/>
  <w:embedTrueTypeFonts/>
  <w:trackRevisions/>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start"/>
    </w:pPr>
    <w:rPr>
      <w:rFonts w:ascii="Calibri" w:hAnsi="Calibri" w:eastAsia="Calibri" w:cs="Calibri"/>
      <w:color w:val="auto"/>
      <w:kern w:val="0"/>
      <w:sz w:val="22"/>
      <w:szCs w:val="22"/>
      <w:lang w:val="en-US" w:eastAsia="en-US" w:bidi="ar-SA"/>
    </w:rPr>
  </w:style>
  <w:style w:type="paragraph" w:styleId="Heading1">
    <w:name w:val="heading 1"/>
    <w:basedOn w:val="Normal"/>
    <w:next w:val="Normal"/>
    <w:uiPriority w:val="9"/>
    <w:qFormat/>
    <w:pPr>
      <w:keepNext w:val="true"/>
      <w:keepLines/>
      <w:spacing w:before="480" w:after="0"/>
      <w:outlineLvl w:val="0"/>
    </w:pPr>
    <w:rPr>
      <w:b/>
      <w:bCs/>
      <w:color w:val="366091"/>
      <w:sz w:val="28"/>
      <w:szCs w:val="28"/>
    </w:rPr>
  </w:style>
  <w:style w:type="paragraph" w:styleId="Heading2">
    <w:name w:val="heading 2"/>
    <w:basedOn w:val="Normal"/>
    <w:next w:val="Normal"/>
    <w:uiPriority w:val="9"/>
    <w:semiHidden/>
    <w:unhideWhenUsed/>
    <w:qFormat/>
    <w:pPr>
      <w:keepNext w:val="true"/>
      <w:keepLines/>
      <w:spacing w:before="200" w:after="0"/>
      <w:outlineLvl w:val="1"/>
    </w:pPr>
    <w:rPr>
      <w:b/>
      <w:bCs/>
      <w:color w:val="4F81BD"/>
      <w:sz w:val="26"/>
      <w:szCs w:val="26"/>
    </w:rPr>
  </w:style>
  <w:style w:type="paragraph" w:styleId="Heading3">
    <w:name w:val="heading 3"/>
    <w:basedOn w:val="Normal"/>
    <w:next w:val="Normal"/>
    <w:uiPriority w:val="9"/>
    <w:semiHidden/>
    <w:unhideWhenUsed/>
    <w:qFormat/>
    <w:pPr>
      <w:keepNext w:val="true"/>
      <w:keepLines/>
      <w:spacing w:before="200" w:after="0"/>
      <w:outlineLvl w:val="2"/>
    </w:pPr>
    <w:rPr>
      <w:b/>
      <w:bCs/>
      <w:color w:val="4F81BD"/>
    </w:rPr>
  </w:style>
  <w:style w:type="paragraph" w:styleId="Heading4">
    <w:name w:val="heading 4"/>
    <w:basedOn w:val="Normal"/>
    <w:next w:val="Normal"/>
    <w:uiPriority w:val="9"/>
    <w:semiHidden/>
    <w:unhideWhenUsed/>
    <w:qFormat/>
    <w:pPr>
      <w:keepNext w:val="true"/>
      <w:keepLines/>
      <w:spacing w:before="200" w:after="0"/>
      <w:outlineLvl w:val="3"/>
    </w:pPr>
    <w:rPr>
      <w:b/>
      <w:bCs/>
      <w:i/>
      <w:iCs/>
      <w:color w:val="4F81BD"/>
    </w:rPr>
  </w:style>
  <w:style w:type="paragraph" w:styleId="Heading5">
    <w:name w:val="heading 5"/>
    <w:basedOn w:val="Normal"/>
    <w:next w:val="Normal"/>
    <w:uiPriority w:val="9"/>
    <w:semiHidden/>
    <w:unhideWhenUsed/>
    <w:qFormat/>
    <w:pPr>
      <w:keepNext w:val="true"/>
      <w:keepLines/>
      <w:spacing w:before="200" w:after="0"/>
      <w:outlineLvl w:val="4"/>
    </w:pPr>
    <w:rPr>
      <w:color w:val="243F61"/>
    </w:rPr>
  </w:style>
  <w:style w:type="paragraph" w:styleId="Heading6">
    <w:name w:val="heading 6"/>
    <w:basedOn w:val="Normal"/>
    <w:next w:val="Normal"/>
    <w:uiPriority w:val="9"/>
    <w:semiHidden/>
    <w:unhideWhenUsed/>
    <w:qFormat/>
    <w:pPr>
      <w:keepNext w:val="true"/>
      <w:keepLines/>
      <w:spacing w:before="200" w:after="0"/>
      <w:outlineLvl w:val="5"/>
    </w:pPr>
    <w:rPr>
      <w:i/>
      <w:iCs/>
      <w:color w:val="243F61"/>
    </w:rPr>
  </w:style>
  <w:style w:type="character" w:styleId="DefaultParagraphFont" w:default="1">
    <w:name w:val="Default Paragraph Font"/>
    <w:uiPriority w:val="1"/>
    <w:semiHidden/>
    <w:unhideWhenUsed/>
    <w:qFormat/>
    <w:rPr/>
  </w:style>
  <w:style w:type="character" w:styleId="CommentReference">
    <w:name w:val="annotation reference"/>
    <w:basedOn w:val="DefaultParagraphFont"/>
    <w:uiPriority w:val="99"/>
    <w:semiHidden/>
    <w:unhideWhenUsed/>
    <w:qFormat/>
    <w:rsid w:val="0055220d"/>
    <w:rPr>
      <w:sz w:val="16"/>
      <w:szCs w:val="16"/>
    </w:rPr>
  </w:style>
  <w:style w:type="character" w:styleId="CommentTextChar" w:customStyle="1">
    <w:name w:val="Comment Text Char"/>
    <w:basedOn w:val="DefaultParagraphFont"/>
    <w:link w:val="CommentText"/>
    <w:uiPriority w:val="99"/>
    <w:qFormat/>
    <w:rsid w:val="0055220d"/>
    <w:rPr>
      <w:sz w:val="20"/>
      <w:szCs w:val="20"/>
    </w:rPr>
  </w:style>
  <w:style w:type="character" w:styleId="CommentSubjectChar" w:customStyle="1">
    <w:name w:val="Comment Subject Char"/>
    <w:basedOn w:val="CommentTextChar"/>
    <w:link w:val="annotationsubject"/>
    <w:uiPriority w:val="99"/>
    <w:semiHidden/>
    <w:qFormat/>
    <w:rsid w:val="0055220d"/>
    <w:rPr>
      <w:b/>
      <w:bCs/>
      <w:sz w:val="20"/>
      <w:szCs w:val="20"/>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 w:hAnsi="Liberation Sans" w:eastAsia="Noto Sans CJK SC"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styleId="Index">
    <w:name w:val="Index"/>
    <w:basedOn w:val="Normal"/>
    <w:qFormat/>
    <w:pPr>
      <w:suppressLineNumbers/>
    </w:pPr>
    <w:rPr>
      <w:rFonts w:cs="DejaVu Sans"/>
    </w:rPr>
  </w:style>
  <w:style w:type="paragraph" w:styleId="Title">
    <w:name w:val="Title"/>
    <w:basedOn w:val="Normal"/>
    <w:next w:val="Normal"/>
    <w:uiPriority w:val="10"/>
    <w:qFormat/>
    <w:pPr>
      <w:pBdr>
        <w:bottom w:val="single" w:sz="8" w:space="4" w:color="4F81BD"/>
      </w:pBdr>
      <w:spacing w:lineRule="auto" w:line="240" w:before="0" w:after="300"/>
    </w:pPr>
    <w:rPr>
      <w:color w:val="17365D"/>
      <w:sz w:val="52"/>
      <w:szCs w:val="52"/>
    </w:rPr>
  </w:style>
  <w:style w:type="paragraph" w:styleId="Subtitle">
    <w:name w:val="Subtitle"/>
    <w:basedOn w:val="Normal"/>
    <w:next w:val="Normal"/>
    <w:uiPriority w:val="11"/>
    <w:qFormat/>
    <w:pPr/>
    <w:rPr>
      <w:i/>
      <w:iCs/>
      <w:color w:val="4F81BD"/>
      <w:sz w:val="24"/>
      <w:szCs w:val="24"/>
    </w:rPr>
  </w:style>
  <w:style w:type="paragraph" w:styleId="Revision">
    <w:name w:val="Revision"/>
    <w:uiPriority w:val="99"/>
    <w:semiHidden/>
    <w:qFormat/>
    <w:rsid w:val="00ab65e3"/>
    <w:pPr>
      <w:widowControl/>
      <w:bidi w:val="0"/>
      <w:spacing w:lineRule="auto" w:line="240" w:before="0" w:after="0"/>
      <w:jc w:val="start"/>
    </w:pPr>
    <w:rPr>
      <w:rFonts w:ascii="Calibri" w:hAnsi="Calibri" w:eastAsia="Calibri" w:cs="Calibri"/>
      <w:color w:val="auto"/>
      <w:kern w:val="0"/>
      <w:sz w:val="22"/>
      <w:szCs w:val="22"/>
      <w:lang w:val="en-US" w:eastAsia="en-US" w:bidi="ar-SA"/>
    </w:rPr>
  </w:style>
  <w:style w:type="paragraph" w:styleId="CommentText">
    <w:name w:val="annotation text"/>
    <w:basedOn w:val="Normal"/>
    <w:link w:val="CommentTextChar"/>
    <w:uiPriority w:val="99"/>
    <w:unhideWhenUsed/>
    <w:rsid w:val="0055220d"/>
    <w:pPr>
      <w:spacing w:lineRule="auto" w:line="240"/>
    </w:pPr>
    <w:rPr>
      <w:sz w:val="20"/>
      <w:szCs w:val="20"/>
    </w:rPr>
  </w:style>
  <w:style w:type="paragraph" w:styleId="annotationsubject">
    <w:name w:val="annotation subject"/>
    <w:basedOn w:val="CommentText"/>
    <w:next w:val="CommentText"/>
    <w:link w:val="CommentSubjectChar"/>
    <w:uiPriority w:val="99"/>
    <w:semiHidden/>
    <w:unhideWhenUsed/>
    <w:qFormat/>
    <w:rsid w:val="0055220d"/>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Normal0">
    <w:name w:val="TableNormal"/>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 Id="rId2" Type="http://schemas.openxmlformats.org/officeDocument/2006/relationships/font" Target="fonts/font2.odttf"/></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GeQf3UM7ruEILkxpj/C0RmMKF2w==">CgMxLjA4AHIhMVRtTGh6b05EY2xHV2JXeldPVmRONUY0VDItSFVRcUhj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Application>LibreOffice/26.2.4.2$Linux_AARCH64 LibreOffice_project/620$Build-2</Application>
  <AppVersion>15.0000</AppVersion>
  <Pages>2</Pages>
  <Words>866</Words>
  <Characters>4492</Characters>
  <CharactersWithSpaces>5354</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2026-06-22T15:28:00Z</dcterms:created>
  <dc:creator>Jim Osterling</dc:creator>
  <dc:description/>
  <dc:language>en-US</dc:language>
  <cp:lastModifiedBy/>
  <dcterms:modified xsi:type="dcterms:W3CDTF">2026-06-22T15:43:02Z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