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0"/>
      </w:pPr>
      <w:r>
        <w:rPr>
          <w:rFonts w:ascii="Arial" w:cs="Arial" w:eastAsia="Arial" w:hAnsi="Arial"/>
          <w:b/>
          <w:bCs/>
          <w:color w:val="7A2E1D"/>
          <w:sz w:val="30"/>
          <w:szCs w:val="30"/>
        </w:rPr>
        <w:t xml:space="preserve">SB 1090 — Call Script &amp; Committee Call List</w:t>
      </w:r>
    </w:p>
    <w:p>
      <w:pPr>
        <w:spacing w:after="140"/>
      </w:pPr>
      <w:r>
        <w:rPr>
          <w:rFonts w:ascii="Arial" w:cs="Arial" w:eastAsia="Arial" w:hAnsi="Arial"/>
          <w:i/>
          <w:iCs/>
          <w:color w:val="555555"/>
          <w:sz w:val="19"/>
          <w:szCs w:val="19"/>
        </w:rPr>
        <w:t xml:space="preserve">30 seconds is plenty. Be polite, say you're a constituent if you are, give the bill number, give one reason, make the ask. Staff log every call. Advocacy material, not legal advice.</w:t>
      </w:r>
    </w:p>
    <w:p>
      <w:pPr>
        <w:spacing w:after="90" w:before="220"/>
      </w:pPr>
      <w:r>
        <w:rPr>
          <w:rFonts w:ascii="Arial" w:cs="Arial" w:eastAsia="Arial" w:hAnsi="Arial"/>
          <w:b/>
          <w:bCs/>
          <w:color w:val="7A2E1D"/>
          <w:sz w:val="23"/>
          <w:szCs w:val="23"/>
        </w:rPr>
        <w:t xml:space="preserve">20–30 second script (committee member office)</w:t>
      </w:r>
    </w:p>
    <w:p>
      <w:pPr>
        <w:pBdr>
          <w:left w:val="single" w:color="C0572F" w:sz="12" w:space="10"/>
        </w:pBdr>
        <w:spacing w:after="120" w:line="288"/>
        <w:ind w:left="360"/>
      </w:pPr>
      <w:r>
        <w:rPr>
          <w:rFonts w:ascii="Arial" w:cs="Arial" w:eastAsia="Arial" w:hAnsi="Arial"/>
          <w:i/>
          <w:iCs/>
          <w:sz w:val="21"/>
          <w:szCs w:val="21"/>
        </w:rPr>
        <w:t xml:space="preserve">“Hi, my name is [name], and I'm a constituent from [city] / a California resident. I'm calling to ask Assemblymember [name] to support SB 1090 by Senator Pérez.</w:t>
      </w:r>
    </w:p>
    <w:p>
      <w:pPr>
        <w:pBdr>
          <w:left w:val="single" w:color="C0572F" w:sz="12" w:space="10"/>
        </w:pBdr>
        <w:spacing w:after="120" w:line="288"/>
        <w:ind w:left="360"/>
      </w:pPr>
      <w:r>
        <w:rPr>
          <w:rFonts w:ascii="Arial" w:cs="Arial" w:eastAsia="Arial" w:hAnsi="Arial"/>
          <w:i/>
          <w:iCs/>
          <w:sz w:val="21"/>
          <w:szCs w:val="21"/>
        </w:rPr>
        <w:t xml:space="preserve">After the Eaton Fire, speculators are using SB 1123 to subdivide burned lots into up to ten by-right units before survivors can rebuild — on narrow foothill streets that just failed in a deadly fire. SB 1090 pauses that pathway in the disaster area so the community can recover. The Pacific Palisades already got this same protection from these density laws after the same fire — SB 1090 simply gives the Altadena disaster zone the same. It doesn't block housing — it protects recovery.</w:t>
      </w:r>
    </w:p>
    <w:p>
      <w:pPr>
        <w:pBdr>
          <w:left w:val="single" w:color="C0572F" w:sz="12" w:space="10"/>
        </w:pBdr>
        <w:spacing w:after="120" w:line="288"/>
        <w:ind w:left="360"/>
      </w:pPr>
      <w:r>
        <w:rPr>
          <w:rFonts w:ascii="Arial" w:cs="Arial" w:eastAsia="Arial" w:hAnsi="Arial"/>
          <w:i/>
          <w:iCs/>
          <w:sz w:val="21"/>
          <w:szCs w:val="21"/>
        </w:rPr>
        <w:t xml:space="preserve">Can the Assemblymember support SB 1090? Thank you.”</w:t>
      </w:r>
    </w:p>
    <w:p>
      <w:pPr>
        <w:spacing w:after="120" w:line="264"/>
      </w:pPr>
      <w:r>
        <w:rPr>
          <w:rFonts w:ascii="Arial" w:cs="Arial" w:eastAsia="Arial" w:hAnsi="Arial"/>
          <w:sz w:val="20"/>
          <w:szCs w:val="20"/>
        </w:rPr>
        <w:t xml:space="preserve">If you reach voicemail or staff asks: leave your </w:t>
      </w:r>
      <w:r>
        <w:rPr>
          <w:rFonts w:ascii="Arial" w:cs="Arial" w:eastAsia="Arial" w:hAnsi="Arial"/>
          <w:b/>
          <w:bCs/>
          <w:sz w:val="20"/>
          <w:szCs w:val="20"/>
        </w:rPr>
        <w:t xml:space="preserve">name, city, and “support SB 1090,”</w:t>
      </w:r>
      <w:r>
        <w:rPr>
          <w:rFonts w:ascii="Arial" w:cs="Arial" w:eastAsia="Arial" w:hAnsi="Arial"/>
          <w:sz w:val="20"/>
          <w:szCs w:val="20"/>
        </w:rPr>
        <w:t xml:space="preserve"> and a callback number.</w:t>
      </w:r>
    </w:p>
    <w:p>
      <w:pPr>
        <w:spacing w:after="90" w:before="220"/>
      </w:pPr>
      <w:r>
        <w:rPr>
          <w:rFonts w:ascii="Arial" w:cs="Arial" w:eastAsia="Arial" w:hAnsi="Arial"/>
          <w:b/>
          <w:bCs/>
          <w:color w:val="7A2E1D"/>
          <w:sz w:val="23"/>
          <w:szCs w:val="23"/>
        </w:rPr>
        <w:t xml:space="preserve">Call list — Assembly Housing &amp; Community Development (hearing June 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100"/>
        <w:gridCol w:w="2000"/>
        <w:gridCol w:w="3060"/>
      </w:tblGrid>
      <w:tr>
        <w:trPr>
          <w:tblHeader/>
        </w:trPr>
        <w:tc>
          <w:tcPr>
            <w:tcW w:type="dxa" w:w="3200"/>
            <w:tcBorders>
              <w:top w:val="single" w:color="BBBBBB" w:sz="1"/>
              <w:left w:val="single" w:color="BBBBBB" w:sz="1"/>
              <w:bottom w:val="single" w:color="BBBBBB" w:sz="1"/>
              <w:right w:val="single" w:color="BBBBBB" w:sz="1"/>
            </w:tcBorders>
            <w:shd w:fill="7A2E1D" w:val="clear"/>
            <w:tcMar>
              <w:top w:type="dxa" w:w="50"/>
              <w:left w:type="dxa" w:w="90"/>
              <w:bottom w:type="dxa" w:w="50"/>
              <w:right w:type="dxa" w:w="90"/>
            </w:tcMar>
          </w:tcPr>
          <w:p>
            <w:r>
              <w:rPr>
                <w:rFonts w:ascii="Arial" w:cs="Arial" w:eastAsia="Arial" w:hAnsi="Arial"/>
                <w:b/>
                <w:bCs/>
                <w:color w:val="FFFFFF"/>
                <w:sz w:val="19"/>
                <w:szCs w:val="19"/>
              </w:rPr>
              <w:t xml:space="preserve">Member</w:t>
            </w:r>
          </w:p>
        </w:tc>
        <w:tc>
          <w:tcPr>
            <w:tcW w:type="dxa" w:w="1100"/>
            <w:tcBorders>
              <w:top w:val="single" w:color="BBBBBB" w:sz="1"/>
              <w:left w:val="single" w:color="BBBBBB" w:sz="1"/>
              <w:bottom w:val="single" w:color="BBBBBB" w:sz="1"/>
              <w:right w:val="single" w:color="BBBBBB" w:sz="1"/>
            </w:tcBorders>
            <w:shd w:fill="7A2E1D" w:val="clear"/>
            <w:tcMar>
              <w:top w:type="dxa" w:w="50"/>
              <w:left w:type="dxa" w:w="90"/>
              <w:bottom w:type="dxa" w:w="50"/>
              <w:right w:type="dxa" w:w="90"/>
            </w:tcMar>
          </w:tcPr>
          <w:p>
            <w:r>
              <w:rPr>
                <w:rFonts w:ascii="Arial" w:cs="Arial" w:eastAsia="Arial" w:hAnsi="Arial"/>
                <w:b/>
                <w:bCs/>
                <w:color w:val="FFFFFF"/>
                <w:sz w:val="19"/>
                <w:szCs w:val="19"/>
              </w:rPr>
              <w:t xml:space="preserve">District</w:t>
            </w:r>
          </w:p>
        </w:tc>
        <w:tc>
          <w:tcPr>
            <w:tcW w:type="dxa" w:w="2000"/>
            <w:tcBorders>
              <w:top w:val="single" w:color="BBBBBB" w:sz="1"/>
              <w:left w:val="single" w:color="BBBBBB" w:sz="1"/>
              <w:bottom w:val="single" w:color="BBBBBB" w:sz="1"/>
              <w:right w:val="single" w:color="BBBBBB" w:sz="1"/>
            </w:tcBorders>
            <w:shd w:fill="7A2E1D" w:val="clear"/>
            <w:tcMar>
              <w:top w:type="dxa" w:w="50"/>
              <w:left w:type="dxa" w:w="90"/>
              <w:bottom w:type="dxa" w:w="50"/>
              <w:right w:type="dxa" w:w="90"/>
            </w:tcMar>
          </w:tcPr>
          <w:p>
            <w:r>
              <w:rPr>
                <w:rFonts w:ascii="Arial" w:cs="Arial" w:eastAsia="Arial" w:hAnsi="Arial"/>
                <w:b/>
                <w:bCs/>
                <w:color w:val="FFFFFF"/>
                <w:sz w:val="19"/>
                <w:szCs w:val="19"/>
              </w:rPr>
              <w:t xml:space="preserve">Capitol phone</w:t>
            </w:r>
          </w:p>
        </w:tc>
        <w:tc>
          <w:tcPr>
            <w:tcW w:type="dxa" w:w="3060"/>
            <w:tcBorders>
              <w:top w:val="single" w:color="BBBBBB" w:sz="1"/>
              <w:left w:val="single" w:color="BBBBBB" w:sz="1"/>
              <w:bottom w:val="single" w:color="BBBBBB" w:sz="1"/>
              <w:right w:val="single" w:color="BBBBBB" w:sz="1"/>
            </w:tcBorders>
            <w:shd w:fill="7A2E1D" w:val="clear"/>
            <w:tcMar>
              <w:top w:type="dxa" w:w="50"/>
              <w:left w:type="dxa" w:w="90"/>
              <w:bottom w:type="dxa" w:w="50"/>
              <w:right w:type="dxa" w:w="90"/>
            </w:tcMar>
          </w:tcPr>
          <w:p>
            <w:r>
              <w:rPr>
                <w:rFonts w:ascii="Arial" w:cs="Arial" w:eastAsia="Arial" w:hAnsi="Arial"/>
                <w:b/>
                <w:bCs/>
                <w:color w:val="FFFFFF"/>
                <w:sz w:val="19"/>
                <w:szCs w:val="19"/>
              </w:rPr>
              <w:t xml:space="preserve">Note</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bCs/>
                <w:color w:val="000000"/>
                <w:sz w:val="19"/>
                <w:szCs w:val="19"/>
              </w:rPr>
              <w:t xml:space="preserve">Matt Haney (Chair)</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17</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319-2017</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bCs/>
                <w:color w:val="000000"/>
                <w:sz w:val="19"/>
                <w:szCs w:val="19"/>
              </w:rPr>
              <w:t xml:space="preserve">Call first</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Joe Patterson (Vice Chair)</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05</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319-2005</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Vice Chair (R)</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Anamarie Ávila Farías</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15</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319-2015</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Jessica M. Caloza</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52</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319-2052</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Borders Pasadena</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Robert Garcia</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50</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319-2050</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Ash Kalra</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25</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319-2025</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Alex Lee</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24</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319-2024</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Sharon Quirk-Silva</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67</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319-2067</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Tri Ta</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70</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319-2070</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Also on Local Gov</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David J. Tangipa</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08</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319-2008</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Lori D. Wilson</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11</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319-2011</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Also on Local Gov</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Buffy Wicks</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14</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319-2014</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bl>
    <w:p>
      <w:pPr>
        <w:spacing w:after="90" w:before="220"/>
      </w:pPr>
      <w:r>
        <w:rPr>
          <w:rFonts w:ascii="Arial" w:cs="Arial" w:eastAsia="Arial" w:hAnsi="Arial"/>
          <w:b/>
          <w:bCs/>
          <w:color w:val="7A2E1D"/>
          <w:sz w:val="23"/>
          <w:szCs w:val="23"/>
        </w:rPr>
        <w:t xml:space="preserve">Call list — Assembly Local Government (hearing TBD)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100"/>
        <w:gridCol w:w="2000"/>
        <w:gridCol w:w="3060"/>
      </w:tblGrid>
      <w:tr>
        <w:trPr>
          <w:tblHeader/>
        </w:trPr>
        <w:tc>
          <w:tcPr>
            <w:tcW w:type="dxa" w:w="3200"/>
            <w:tcBorders>
              <w:top w:val="single" w:color="BBBBBB" w:sz="1"/>
              <w:left w:val="single" w:color="BBBBBB" w:sz="1"/>
              <w:bottom w:val="single" w:color="BBBBBB" w:sz="1"/>
              <w:right w:val="single" w:color="BBBBBB" w:sz="1"/>
            </w:tcBorders>
            <w:shd w:fill="7A2E1D" w:val="clear"/>
            <w:tcMar>
              <w:top w:type="dxa" w:w="50"/>
              <w:left w:type="dxa" w:w="90"/>
              <w:bottom w:type="dxa" w:w="50"/>
              <w:right w:type="dxa" w:w="90"/>
            </w:tcMar>
          </w:tcPr>
          <w:p>
            <w:r>
              <w:rPr>
                <w:rFonts w:ascii="Arial" w:cs="Arial" w:eastAsia="Arial" w:hAnsi="Arial"/>
                <w:b/>
                <w:bCs/>
                <w:color w:val="FFFFFF"/>
                <w:sz w:val="19"/>
                <w:szCs w:val="19"/>
              </w:rPr>
              <w:t xml:space="preserve">Member</w:t>
            </w:r>
          </w:p>
        </w:tc>
        <w:tc>
          <w:tcPr>
            <w:tcW w:type="dxa" w:w="1100"/>
            <w:tcBorders>
              <w:top w:val="single" w:color="BBBBBB" w:sz="1"/>
              <w:left w:val="single" w:color="BBBBBB" w:sz="1"/>
              <w:bottom w:val="single" w:color="BBBBBB" w:sz="1"/>
              <w:right w:val="single" w:color="BBBBBB" w:sz="1"/>
            </w:tcBorders>
            <w:shd w:fill="7A2E1D" w:val="clear"/>
            <w:tcMar>
              <w:top w:type="dxa" w:w="50"/>
              <w:left w:type="dxa" w:w="90"/>
              <w:bottom w:type="dxa" w:w="50"/>
              <w:right w:type="dxa" w:w="90"/>
            </w:tcMar>
          </w:tcPr>
          <w:p>
            <w:r>
              <w:rPr>
                <w:rFonts w:ascii="Arial" w:cs="Arial" w:eastAsia="Arial" w:hAnsi="Arial"/>
                <w:b/>
                <w:bCs/>
                <w:color w:val="FFFFFF"/>
                <w:sz w:val="19"/>
                <w:szCs w:val="19"/>
              </w:rPr>
              <w:t xml:space="preserve">District</w:t>
            </w:r>
          </w:p>
        </w:tc>
        <w:tc>
          <w:tcPr>
            <w:tcW w:type="dxa" w:w="2000"/>
            <w:tcBorders>
              <w:top w:val="single" w:color="BBBBBB" w:sz="1"/>
              <w:left w:val="single" w:color="BBBBBB" w:sz="1"/>
              <w:bottom w:val="single" w:color="BBBBBB" w:sz="1"/>
              <w:right w:val="single" w:color="BBBBBB" w:sz="1"/>
            </w:tcBorders>
            <w:shd w:fill="7A2E1D" w:val="clear"/>
            <w:tcMar>
              <w:top w:type="dxa" w:w="50"/>
              <w:left w:type="dxa" w:w="90"/>
              <w:bottom w:type="dxa" w:w="50"/>
              <w:right w:type="dxa" w:w="90"/>
            </w:tcMar>
          </w:tcPr>
          <w:p>
            <w:r>
              <w:rPr>
                <w:rFonts w:ascii="Arial" w:cs="Arial" w:eastAsia="Arial" w:hAnsi="Arial"/>
                <w:b/>
                <w:bCs/>
                <w:color w:val="FFFFFF"/>
                <w:sz w:val="19"/>
                <w:szCs w:val="19"/>
              </w:rPr>
              <w:t xml:space="preserve">Capitol phone</w:t>
            </w:r>
          </w:p>
        </w:tc>
        <w:tc>
          <w:tcPr>
            <w:tcW w:type="dxa" w:w="3060"/>
            <w:tcBorders>
              <w:top w:val="single" w:color="BBBBBB" w:sz="1"/>
              <w:left w:val="single" w:color="BBBBBB" w:sz="1"/>
              <w:bottom w:val="single" w:color="BBBBBB" w:sz="1"/>
              <w:right w:val="single" w:color="BBBBBB" w:sz="1"/>
            </w:tcBorders>
            <w:shd w:fill="7A2E1D" w:val="clear"/>
            <w:tcMar>
              <w:top w:type="dxa" w:w="50"/>
              <w:left w:type="dxa" w:w="90"/>
              <w:bottom w:type="dxa" w:w="50"/>
              <w:right w:type="dxa" w:w="90"/>
            </w:tcMar>
          </w:tcPr>
          <w:p>
            <w:r>
              <w:rPr>
                <w:rFonts w:ascii="Arial" w:cs="Arial" w:eastAsia="Arial" w:hAnsi="Arial"/>
                <w:b/>
                <w:bCs/>
                <w:color w:val="FFFFFF"/>
                <w:sz w:val="19"/>
                <w:szCs w:val="19"/>
              </w:rPr>
              <w:t xml:space="preserve">Note</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bCs/>
                <w:color w:val="000000"/>
                <w:sz w:val="19"/>
                <w:szCs w:val="19"/>
              </w:rPr>
              <w:t xml:space="preserve">Juan Carrillo (Chair)</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39</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319-2039</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bCs/>
                <w:color w:val="000000"/>
                <w:sz w:val="19"/>
                <w:szCs w:val="19"/>
              </w:rPr>
              <w:t xml:space="preserve">Call first</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Tri Ta (Vice Chair)</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70</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319-2070</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Also on H&amp;CD</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Natasha Johnson</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63</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319-2063</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Blanca Pacheco</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64</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319-2064</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James C. Ramos</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45</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319-2045</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Rhodesia Ransom</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13</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319-2013</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Blanca E. Rubio</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48</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319-2048</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SGV/foothills ally</w:t>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Catherine Stefani</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19</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319-2019</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Christopher M. Ward</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78</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319-2078</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
            </w:r>
          </w:p>
        </w:tc>
      </w:tr>
      <w:tr>
        <w:tc>
          <w:tcPr>
            <w:tcW w:type="dxa" w:w="32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Lori D. Wilson</w:t>
            </w:r>
          </w:p>
        </w:tc>
        <w:tc>
          <w:tcPr>
            <w:tcW w:type="dxa" w:w="11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11</w:t>
            </w:r>
          </w:p>
        </w:tc>
        <w:tc>
          <w:tcPr>
            <w:tcW w:type="dxa" w:w="200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(916) 319-2011</w:t>
            </w:r>
          </w:p>
        </w:tc>
        <w:tc>
          <w:tcPr>
            <w:tcW w:type="dxa" w:w="3060"/>
            <w:tcBorders>
              <w:top w:val="single" w:color="BBBBBB" w:sz="1"/>
              <w:left w:val="single" w:color="BBBBBB" w:sz="1"/>
              <w:bottom w:val="single" w:color="BBBBBB" w:sz="1"/>
              <w:right w:val="single" w:color="BBBBBB" w:sz="1"/>
            </w:tcBorders>
            <w:tcMar>
              <w:top w:type="dxa" w:w="50"/>
              <w:left w:type="dxa" w:w="90"/>
              <w:bottom w:type="dxa" w:w="50"/>
              <w:right w:type="dxa" w:w="90"/>
            </w:tcMar>
          </w:tcPr>
          <w:p>
            <w:r>
              <w:rPr>
                <w:rFonts w:ascii="Arial" w:cs="Arial" w:eastAsia="Arial" w:hAnsi="Arial"/>
                <w:b w:val="false"/>
                <w:bCs w:val="false"/>
                <w:color w:val="000000"/>
                <w:sz w:val="19"/>
                <w:szCs w:val="19"/>
              </w:rPr>
              <w:t xml:space="preserve">Also on H&amp;CD</w:t>
            </w:r>
          </w:p>
        </w:tc>
      </w:tr>
    </w:tbl>
    <w:p>
      <w:pPr>
        <w:spacing w:after="140" w:before="60"/>
      </w:pPr>
      <w:r>
        <w:rPr>
          <w:rFonts w:ascii="Arial" w:cs="Arial" w:eastAsia="Arial" w:hAnsi="Arial"/>
          <w:i/>
          <w:iCs/>
          <w:color w:val="555555"/>
          <w:sz w:val="18"/>
          <w:szCs w:val="18"/>
        </w:rPr>
        <w:t xml:space="preserve">Capitol phone format: (916) 319-2000 + district number.</w:t>
      </w:r>
    </w:p>
    <w:p>
      <w:pPr>
        <w:spacing w:after="90" w:before="220"/>
      </w:pPr>
      <w:r>
        <w:rPr>
          <w:rFonts w:ascii="Arial" w:cs="Arial" w:eastAsia="Arial" w:hAnsi="Arial"/>
          <w:b/>
          <w:bCs/>
          <w:color w:val="7A2E1D"/>
          <w:sz w:val="23"/>
          <w:szCs w:val="23"/>
        </w:rPr>
        <w:t xml:space="preserve">Governor — emergency executive order ask</w:t>
      </w:r>
    </w:p>
    <w:p>
      <w:pPr>
        <w:spacing w:after="120" w:line="264"/>
      </w:pPr>
      <w:r>
        <w:rPr>
          <w:rFonts w:ascii="Arial" w:cs="Arial" w:eastAsia="Arial" w:hAnsi="Arial"/>
          <w:sz w:val="20"/>
          <w:szCs w:val="20"/>
        </w:rPr>
        <w:t xml:space="preserve">Governor's office: </w:t>
      </w:r>
      <w:r>
        <w:rPr>
          <w:rFonts w:ascii="Arial" w:cs="Arial" w:eastAsia="Arial" w:hAnsi="Arial"/>
          <w:b/>
          <w:bCs/>
          <w:sz w:val="20"/>
          <w:szCs w:val="20"/>
        </w:rPr>
        <w:t xml:space="preserve">(916) 445-2841</w:t>
      </w:r>
      <w:r>
        <w:rPr>
          <w:rFonts w:ascii="Arial" w:cs="Arial" w:eastAsia="Arial" w:hAnsi="Arial"/>
          <w:sz w:val="20"/>
          <w:szCs w:val="20"/>
        </w:rPr>
        <w:t xml:space="preserve"> (Mon–Fri, 9–5). Web contact form: gov.ca.gov/contact.</w:t>
      </w:r>
    </w:p>
    <w:p>
      <w:pPr>
        <w:pBdr>
          <w:left w:val="single" w:color="C0572F" w:sz="12" w:space="10"/>
        </w:pBdr>
        <w:spacing w:after="120" w:line="288"/>
        <w:ind w:left="360"/>
      </w:pPr>
      <w:r>
        <w:rPr>
          <w:rFonts w:ascii="Arial" w:cs="Arial" w:eastAsia="Arial" w:hAnsi="Arial"/>
          <w:i/>
          <w:iCs/>
          <w:sz w:val="21"/>
          <w:szCs w:val="21"/>
        </w:rPr>
        <w:t xml:space="preserve">“Hi, I'm [name] from [city]. I'm asking Governor Newsom to issue an emergency executive order pausing SB 1123's by-right lot-splitting across the entire Eaton Fire disaster area — not just the fire-hazard map — so speculators can't subdivide burned lots before families rebuild. Please pass this along. Thank you.”</w:t>
      </w:r>
    </w:p>
    <w:p>
      <w:pPr>
        <w:spacing w:before="60"/>
      </w:pPr>
      <w:r>
        <w:rPr>
          <w:rFonts w:ascii="Arial" w:cs="Arial" w:eastAsia="Arial" w:hAnsi="Arial"/>
          <w:i/>
          <w:iCs/>
          <w:color w:val="777777"/>
          <w:sz w:val="16"/>
          <w:szCs w:val="16"/>
        </w:rPr>
        <w:t xml:space="preserve">Sources: committee rosters/phones — official Assembly committee pages; Governor's office line — gov.ca.gov.</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2026-06-16T14:05:31.784Z</dcterms:created>
  <dcterms:modified xsi:type="dcterms:W3CDTF">2026-06-16T14:05:31.789Z</dcterms:modified>
</cp:coreProperties>
</file>

<file path=docProps/custom.xml><?xml version="1.0" encoding="utf-8"?>
<Properties xmlns="http://schemas.openxmlformats.org/officeDocument/2006/custom-properties" xmlns:vt="http://schemas.openxmlformats.org/officeDocument/2006/docPropsVTypes"/>
</file>