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66bdbd66f6c0160458e7c2c8d92167ebe8b5f00"/>
      <w:r>
        <w:t xml:space="preserve">SB 1090 — Talking Points for Legislators Outside Altadena (incl. Northern California)</w:t>
      </w:r>
      <w:bookmarkEnd w:id="20"/>
    </w:p>
    <w:p>
      <w:pPr>
        <w:pStyle w:val="FirstParagraph"/>
      </w:pPr>
      <w:r>
        <w:rPr>
          <w:i/>
        </w:rPr>
        <w:t xml:space="preserve">Why a legislator who didn’t live through the Eaton Fire — including in Northern California — should still vote YES. The frame is PARITY and FAIRNESS, not</w:t>
      </w:r>
      <w:r>
        <w:rPr>
          <w:i/>
        </w:rPr>
        <w:t xml:space="preserve"> </w:t>
      </w:r>
      <w:r>
        <w:rPr>
          <w:i/>
        </w:rPr>
        <w:t xml:space="preserve">“</w:t>
      </w:r>
      <w:r>
        <w:rPr>
          <w:i/>
        </w:rPr>
        <w:t xml:space="preserve">this could be you.</w:t>
      </w:r>
      <w:r>
        <w:rPr>
          <w:i/>
        </w:rPr>
        <w:t xml:space="preserve">”</w:t>
      </w:r>
      <w:r>
        <w:rPr>
          <w:i/>
        </w:rPr>
        <w:t xml:space="preserve"> </w:t>
      </w:r>
      <w:r>
        <w:rPr>
          <w:i/>
        </w:rPr>
        <w:t xml:space="preserve">SB 1090 is a narrow, one-time fix that gives Altadena the same disaster protection the Pacific Palisades already received. We support SB 1090 as drafted. Our concern is the SB 1123 ministerial-subdivision pathway in the burn zone — not infill housing generally. This is not a precedent and not a template; we are not asking other communities to seek their own carve-outs. Advocacy material, not legal advice; figures verified against public sources.</w:t>
      </w:r>
    </w:p>
    <w:p>
      <w:pPr>
        <w:pStyle w:val="Heading2"/>
      </w:pPr>
      <w:bookmarkStart w:id="21" w:name="the-one-sentence-frame"/>
      <w:r>
        <w:t xml:space="preserve">The one-sentence frame</w:t>
      </w:r>
      <w:bookmarkEnd w:id="21"/>
    </w:p>
    <w:p>
      <w:pPr>
        <w:pStyle w:val="FirstParagraph"/>
      </w:pPr>
      <w:r>
        <w:t xml:space="preserve">SB 1090 isn’t a special favor — it gives Altadena the</w:t>
      </w:r>
      <w:r>
        <w:t xml:space="preserve"> </w:t>
      </w:r>
      <w:r>
        <w:rPr>
          <w:b/>
        </w:rPr>
        <w:t xml:space="preserve">same protection the state already gave the Pacific Palisades after the very same fire</w:t>
      </w:r>
      <w:r>
        <w:t xml:space="preserve">, and nothing more. A vote for it is a vote for equal treatment.</w:t>
      </w:r>
    </w:p>
    <w:p>
      <w:pPr>
        <w:pStyle w:val="Heading2"/>
      </w:pPr>
      <w:bookmarkStart w:id="22" w:name="whats-happening-in-altadena"/>
      <w:r>
        <w:t xml:space="preserve">What’s happening in Altadena</w:t>
      </w:r>
      <w:bookmarkEnd w:id="22"/>
    </w:p>
    <w:p>
      <w:pPr>
        <w:numPr>
          <w:ilvl w:val="0"/>
          <w:numId w:val="1001"/>
        </w:numPr>
        <w:pStyle w:val="Compact"/>
      </w:pPr>
      <w:r>
        <w:t xml:space="preserve">After the January 2025 Eaton Fire, out-of-town investors began using</w:t>
      </w:r>
      <w:r>
        <w:t xml:space="preserve"> </w:t>
      </w:r>
      <w:r>
        <w:rPr>
          <w:b/>
        </w:rPr>
        <w:t xml:space="preserve">SB 1123</w:t>
      </w:r>
      <w:r>
        <w:t xml:space="preserve"> </w:t>
      </w:r>
      <w:r>
        <w:t xml:space="preserve">(the Starter Home Revitalization Act) to buy burned single-family lots and subdivide them —</w:t>
      </w:r>
      <w:r>
        <w:t xml:space="preserve"> </w:t>
      </w:r>
      <w:r>
        <w:rPr>
          <w:b/>
        </w:rPr>
        <w:t xml:space="preserve">by right, ministerially, with no public hearing</w:t>
      </w:r>
      <w:r>
        <w:t xml:space="preserve"> </w:t>
      </w:r>
      <w:r>
        <w:t xml:space="preserve">— into as many as ten units each.</w:t>
      </w:r>
    </w:p>
    <w:p>
      <w:pPr>
        <w:numPr>
          <w:ilvl w:val="0"/>
          <w:numId w:val="1001"/>
        </w:numPr>
        <w:pStyle w:val="Compact"/>
      </w:pPr>
      <w:r>
        <w:t xml:space="preserve">At least ten such subdivisions are already in L.A. County records, proposing to turn roughly ten burned parcels into more than eighty units, while survivors are still fighting insurers and clearing debris.</w:t>
      </w:r>
    </w:p>
    <w:p>
      <w:pPr>
        <w:numPr>
          <w:ilvl w:val="0"/>
          <w:numId w:val="1001"/>
        </w:numPr>
        <w:pStyle w:val="Compact"/>
      </w:pPr>
      <w:r>
        <w:t xml:space="preserve">The result: recovery driven parcel by parcel by whoever has cash fastest, instead of by the families trying to come home.</w:t>
      </w:r>
    </w:p>
    <w:p>
      <w:pPr>
        <w:pStyle w:val="Heading2"/>
      </w:pPr>
      <w:bookmarkStart w:id="23" w:name="X9153c88930323663015fdb009c7cfc476d3ead0"/>
      <w:r>
        <w:t xml:space="preserve">Why this is a narrow exception — not a precedent</w:t>
      </w:r>
      <w:bookmarkEnd w:id="23"/>
    </w:p>
    <w:p>
      <w:pPr>
        <w:pStyle w:val="FirstParagraph"/>
      </w:pPr>
      <w:r>
        <w:t xml:space="preserve">Altadena’s circumstances are distinct enough to justify a one-time fix that reaches no further:</w:t>
      </w:r>
    </w:p>
    <w:p>
      <w:pPr>
        <w:numPr>
          <w:ilvl w:val="0"/>
          <w:numId w:val="1002"/>
        </w:numPr>
        <w:pStyle w:val="Compact"/>
      </w:pPr>
      <w:r>
        <w:rPr>
          <w:b/>
        </w:rPr>
        <w:t xml:space="preserve">A utility-linked disaster Altadena did not cause.</w:t>
      </w:r>
      <w:r>
        <w:t xml:space="preserve"> </w:t>
      </w:r>
      <w:r>
        <w:t xml:space="preserve">The Eaton Fire is widely attributed to — and is the subject of federal and county litigation alleging it was caused by — Southern California Edison’s electrical infrastructure. SCE itself has said it is</w:t>
      </w:r>
      <w:r>
        <w:t xml:space="preserve"> </w:t>
      </w:r>
      <w:r>
        <w:t xml:space="preserve">“</w:t>
      </w:r>
      <w:r>
        <w:t xml:space="preserve">likely</w:t>
      </w:r>
      <w:r>
        <w:t xml:space="preserve">”</w:t>
      </w:r>
      <w:r>
        <w:t xml:space="preserve"> </w:t>
      </w:r>
      <w:r>
        <w:t xml:space="preserve">its equipment was</w:t>
      </w:r>
      <w:r>
        <w:t xml:space="preserve"> </w:t>
      </w:r>
      <w:r>
        <w:t xml:space="preserve">“</w:t>
      </w:r>
      <w:r>
        <w:t xml:space="preserve">associated with the ignition.</w:t>
      </w:r>
      <w:r>
        <w:t xml:space="preserve">”</w:t>
      </w:r>
      <w:r>
        <w:t xml:space="preserve"> </w:t>
      </w:r>
      <w:r>
        <w:t xml:space="preserve">Altadena bears a near-total loss from another party’s infrastructure failure, and speculation now compounds that injustice.</w:t>
      </w:r>
    </w:p>
    <w:p>
      <w:pPr>
        <w:numPr>
          <w:ilvl w:val="0"/>
          <w:numId w:val="1002"/>
        </w:numPr>
        <w:pStyle w:val="Compact"/>
      </w:pPr>
      <w:r>
        <w:rPr>
          <w:b/>
        </w:rPr>
        <w:t xml:space="preserve">The Palisades parity gap.</w:t>
      </w:r>
      <w:r>
        <w:t xml:space="preserve"> </w:t>
      </w:r>
      <w:r>
        <w:t xml:space="preserve">After the same firestorm, the Pacific Palisades received emergency relief from these density provisions — but it was keyed to a fire-hazard-severity-zone map that left most of Altadena out. SB 1090 simply closes that gap.</w:t>
      </w:r>
    </w:p>
    <w:p>
      <w:pPr>
        <w:numPr>
          <w:ilvl w:val="0"/>
          <w:numId w:val="1002"/>
        </w:numPr>
        <w:pStyle w:val="Compact"/>
      </w:pPr>
      <w:r>
        <w:rPr>
          <w:b/>
        </w:rPr>
        <w:t xml:space="preserve">Deadly single-access foothill topography.</w:t>
      </w:r>
      <w:r>
        <w:t xml:space="preserve"> </w:t>
      </w:r>
      <w:r>
        <w:t xml:space="preserve">Altadena’s narrow, often single-egress streets failed catastrophically in a fire that killed 19 people; adding density there is a direct life-safety hazard.</w:t>
      </w:r>
    </w:p>
    <w:p>
      <w:pPr>
        <w:numPr>
          <w:ilvl w:val="0"/>
          <w:numId w:val="1002"/>
        </w:numPr>
        <w:pStyle w:val="Compact"/>
      </w:pPr>
      <w:r>
        <w:rPr>
          <w:b/>
        </w:rPr>
        <w:t xml:space="preserve">Septic / infrastructure mismatch.</w:t>
      </w:r>
      <w:r>
        <w:t xml:space="preserve"> </w:t>
      </w:r>
      <w:r>
        <w:t xml:space="preserve">Many lots are on septic, not sewer, without sidewalks or adequate roads — they fail the SHRA’s own urban-infrastructure premise and L.A. County’s own eligibility criteria.</w:t>
      </w:r>
    </w:p>
    <w:p>
      <w:pPr>
        <w:pStyle w:val="FirstParagraph"/>
      </w:pPr>
      <w:r>
        <w:t xml:space="preserve">Because the justification is this specific convergence of facts, SB 1090 sets no precedent and obligates the Legislature to nothing elsewhere.</w:t>
      </w:r>
    </w:p>
    <w:p>
      <w:pPr>
        <w:pStyle w:val="Heading2"/>
      </w:pPr>
      <w:bookmarkStart w:id="24" w:name="Xff575973b41092b7b44e7a16ac4ee4a7ee124aa"/>
      <w:r>
        <w:t xml:space="preserve">The two themes that travel across party lines</w:t>
      </w:r>
      <w:bookmarkEnd w:id="24"/>
    </w:p>
    <w:p>
      <w:pPr>
        <w:pStyle w:val="FirstParagraph"/>
      </w:pPr>
      <w:r>
        <w:rPr>
          <w:b/>
        </w:rPr>
        <w:t xml:space="preserve">It can’t be easier for developers to build than for the families who burned out.</w:t>
      </w:r>
      <w:r>
        <w:t xml:space="preserve"> </w:t>
      </w:r>
      <w:r>
        <w:t xml:space="preserve">SB 1123 hands a developer a fast, by-right path to carve a fire-cleared lot into up to ten units — no hearing, no neighbor notice. The displaced homeowner next door, rebuilding one house, faces the slow, discretionary permitting every rebuild requires. SB 1090 puts survivors first.</w:t>
      </w:r>
    </w:p>
    <w:p>
      <w:pPr>
        <w:pStyle w:val="BodyText"/>
      </w:pPr>
      <w:r>
        <w:rPr>
          <w:b/>
        </w:rPr>
        <w:t xml:space="preserve">Evacuation and life safety.</w:t>
      </w:r>
      <w:r>
        <w:t xml:space="preserve"> </w:t>
      </w:r>
      <w:r>
        <w:t xml:space="preserve">Altadena’s foothill neighborhoods sit on narrow, often single-access streets that just failed in a deadly, fast-moving fire. Adding households and cars to those same streets lengthens evacuation and degrades emergency egress on roads that already couldn’t clear residents in January 2025 — compounded by missing sidewalks, septic systems, and undersized roads that show these blocks don’t fit SB 1123’s urban-infill premise.</w:t>
      </w:r>
    </w:p>
    <w:p>
      <w:pPr>
        <w:pStyle w:val="Heading2"/>
      </w:pPr>
      <w:bookmarkStart w:id="25" w:name="Xd004a4686f5b5ba53a7e902e6487e93983edeb3"/>
      <w:r>
        <w:t xml:space="preserve">Why a legislator outside Altadena should vote YES</w:t>
      </w:r>
      <w:bookmarkEnd w:id="25"/>
    </w:p>
    <w:p>
      <w:pPr>
        <w:numPr>
          <w:ilvl w:val="0"/>
          <w:numId w:val="1003"/>
        </w:numPr>
        <w:pStyle w:val="Compact"/>
      </w:pPr>
      <w:r>
        <w:rPr>
          <w:b/>
        </w:rPr>
        <w:t xml:space="preserve">Parity.</w:t>
      </w:r>
      <w:r>
        <w:t xml:space="preserve"> </w:t>
      </w:r>
      <w:r>
        <w:t xml:space="preserve">The state already protected one community from the consequences of this exact fire. Equal treatment means extending the same narrow protection to Altadena.</w:t>
      </w:r>
    </w:p>
    <w:p>
      <w:pPr>
        <w:numPr>
          <w:ilvl w:val="0"/>
          <w:numId w:val="1003"/>
        </w:numPr>
        <w:pStyle w:val="Compact"/>
      </w:pPr>
      <w:r>
        <w:rPr>
          <w:b/>
        </w:rPr>
        <w:t xml:space="preserve">Fairness and life safety</w:t>
      </w:r>
      <w:r>
        <w:t xml:space="preserve"> </w:t>
      </w:r>
      <w:r>
        <w:t xml:space="preserve">— values that don’t depend on which district you represent.</w:t>
      </w:r>
    </w:p>
    <w:p>
      <w:pPr>
        <w:numPr>
          <w:ilvl w:val="0"/>
          <w:numId w:val="1003"/>
        </w:numPr>
        <w:pStyle w:val="Compact"/>
      </w:pPr>
      <w:r>
        <w:rPr>
          <w:b/>
        </w:rPr>
        <w:t xml:space="preserve">It’s bounded and risk-free to you.</w:t>
      </w:r>
      <w:r>
        <w:t xml:space="preserve"> </w:t>
      </w:r>
      <w:r>
        <w:t xml:space="preserve">SB 1090 is look-forward only, time-limited, and limited to the Eaton Fire disaster area. It doesn’t change the law in your district, doesn’t repeal housing law, and sets no precedent.</w:t>
      </w:r>
    </w:p>
    <w:p>
      <w:pPr>
        <w:numPr>
          <w:ilvl w:val="0"/>
          <w:numId w:val="1003"/>
        </w:numPr>
        <w:pStyle w:val="Compact"/>
      </w:pPr>
      <w:r>
        <w:rPr>
          <w:b/>
        </w:rPr>
        <w:t xml:space="preserve">Lived understanding.</w:t>
      </w:r>
      <w:r>
        <w:t xml:space="preserve"> </w:t>
      </w:r>
      <w:r>
        <w:t xml:space="preserve">Legislators whose districts have endured Paradise (Camp Fire, 2018 — 85 lives, ~19,000 structures), Santa Rosa (Tubbs Fire, 2017 — 22 lives, 5,643 structures), Berry Creek (North Complex, 2020), or Greenville (Dixie Fire, 2021) understand what disaster recovery demands. That hard-won understanding is exactly why we’re asking for your support of this targeted fix for Altadena — not because you need anything for your own community, but because you know what’s at stake.</w:t>
      </w:r>
    </w:p>
    <w:p>
      <w:pPr>
        <w:pStyle w:val="Heading2"/>
      </w:pPr>
      <w:bookmarkStart w:id="26" w:name="tailored-asks"/>
      <w:r>
        <w:t xml:space="preserve">Tailored asks</w:t>
      </w:r>
      <w:bookmarkEnd w:id="26"/>
    </w:p>
    <w:p>
      <w:pPr>
        <w:pStyle w:val="FirstParagraph"/>
      </w:pPr>
      <w:r>
        <w:rPr>
          <w:b/>
        </w:rPr>
        <w:t xml:space="preserve">For a constituent contacting your own representative (anywhere in California):</w:t>
      </w:r>
      <w:r>
        <w:t xml:space="preserve"> </w:t>
      </w:r>
      <w:r>
        <w:t xml:space="preserve">-</w:t>
      </w:r>
      <w:r>
        <w:t xml:space="preserve"> </w:t>
      </w:r>
      <w:r>
        <w:t xml:space="preserve">“</w:t>
      </w:r>
      <w:r>
        <w:t xml:space="preserve">Please support SB 1090. After the Eaton Fire, speculators are using SB 1123 to subdivide burned Altadena lots into up to ten by-right units before survivors can rebuild — on narrow foothill streets that just failed in a deadly fire. The Palisades already got protection from these density laws after the same fire; SB 1090 just gives Altadena the same. It’s narrow, bounded, and the fair thing to do. Please vote YES.</w:t>
      </w:r>
      <w:r>
        <w:t xml:space="preserve">”</w:t>
      </w:r>
    </w:p>
    <w:p>
      <w:pPr>
        <w:pStyle w:val="BodyText"/>
      </w:pPr>
      <w:r>
        <w:rPr>
          <w:b/>
        </w:rPr>
        <w:t xml:space="preserve">For a legislator outside Altadena:</w:t>
      </w:r>
      <w:r>
        <w:t xml:space="preserve"> </w:t>
      </w:r>
      <w:r>
        <w:t xml:space="preserve">- Vote YES on SB 1090 in the Assembly Housing &amp; Community Development and Local Government committees, and on the floor.</w:t>
      </w:r>
      <w:r>
        <w:t xml:space="preserve"> </w:t>
      </w:r>
      <w:r>
        <w:t xml:space="preserve">- Support it as drafted — it’s a narrow, one-time parity fix for the Eaton Fire disaster area, not a statewide change.</w:t>
      </w:r>
    </w:p>
    <w:p>
      <w:pPr>
        <w:pStyle w:val="Heading2"/>
      </w:pPr>
      <w:bookmarkStart w:id="27" w:name="sources"/>
      <w:r>
        <w:t xml:space="preserve">Sources</w:t>
      </w:r>
      <w:bookmarkEnd w:id="27"/>
    </w:p>
    <w:p>
      <w:pPr>
        <w:numPr>
          <w:ilvl w:val="0"/>
          <w:numId w:val="1004"/>
        </w:numPr>
        <w:pStyle w:val="Compact"/>
      </w:pPr>
      <w:r>
        <w:t xml:space="preserve">SCE/Eaton-Fire admissions: Edison International newsroom (Feb 6, 2025); SEC 8-K EX-99.2 (Feb 27, 2025); ABC7 (Oct 29, 2025) reporting the Q3 2025</w:t>
      </w:r>
      <w:r>
        <w:t xml:space="preserve"> </w:t>
      </w:r>
      <w:r>
        <w:t xml:space="preserve">“</w:t>
      </w:r>
      <w:r>
        <w:t xml:space="preserve">likely… associated with the ignition</w:t>
      </w:r>
      <w:r>
        <w:t xml:space="preserve">”</w:t>
      </w:r>
      <w:r>
        <w:t xml:space="preserve"> </w:t>
      </w:r>
      <w:r>
        <w:t xml:space="preserve">statement. Causation not yet officially determined by Cal Fire / L.A. County Fire.</w:t>
      </w:r>
    </w:p>
    <w:p>
      <w:pPr>
        <w:numPr>
          <w:ilvl w:val="0"/>
          <w:numId w:val="1004"/>
        </w:numPr>
        <w:pStyle w:val="Compact"/>
      </w:pPr>
      <w:r>
        <w:t xml:space="preserve">NorCal fire figures: Britannica; Wikipedia/news coverage (cross-checked June 2026).</w:t>
      </w:r>
    </w:p>
    <w:p>
      <w:pPr>
        <w:numPr>
          <w:ilvl w:val="0"/>
          <w:numId w:val="1004"/>
        </w:numPr>
        <w:pStyle w:val="Compact"/>
      </w:pPr>
      <w:r>
        <w:t xml:space="preserve">SB 1090 status &amp; text: leginfo / LegiScan (passed Senate 5/27/2026; re-referred 6/11/2026 to Assembly Housing &amp; CD and Local Government).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2026-06-16T13:27:08Z</dcterms:created>
  <dcterms:modified xsi:type="dcterms:W3CDTF">2026-06-16T13:27:08Z</dcterms:modified>
</cp:coreProperties>
</file>

<file path=docProps/custom.xml><?xml version="1.0" encoding="utf-8"?>
<Properties xmlns="http://schemas.openxmlformats.org/officeDocument/2006/custom-properties" xmlns:vt="http://schemas.openxmlformats.org/officeDocument/2006/docPropsVTypes"/>
</file>